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CAEB0A" w14:textId="77777777" w:rsidR="001B10C3" w:rsidRPr="000E50BB" w:rsidRDefault="0012464F">
      <w:pPr>
        <w:rPr>
          <w:b/>
          <w:bCs/>
          <w:sz w:val="28"/>
          <w:szCs w:val="28"/>
          <w:lang w:val="pl-PL"/>
        </w:rPr>
      </w:pPr>
      <w:r w:rsidRPr="000E50BB">
        <w:rPr>
          <w:b/>
          <w:bCs/>
          <w:sz w:val="28"/>
          <w:szCs w:val="28"/>
          <w:lang w:val="pl-PL"/>
        </w:rPr>
        <w:t>Polacy wobec ryzyka wojny – między strachem a działaniem</w:t>
      </w:r>
    </w:p>
    <w:p w14:paraId="4BA7C775" w14:textId="77777777" w:rsidR="001B10C3" w:rsidRPr="000E50BB" w:rsidRDefault="001B10C3">
      <w:pPr>
        <w:rPr>
          <w:b/>
          <w:bCs/>
          <w:sz w:val="20"/>
          <w:szCs w:val="20"/>
          <w:lang w:val="pl-PL"/>
        </w:rPr>
      </w:pPr>
    </w:p>
    <w:p w14:paraId="7E9BB1C3" w14:textId="77777777" w:rsidR="001B10C3" w:rsidRPr="000E50BB" w:rsidRDefault="001B10C3">
      <w:pPr>
        <w:rPr>
          <w:b/>
          <w:bCs/>
          <w:sz w:val="20"/>
          <w:szCs w:val="20"/>
          <w:lang w:val="pl-PL"/>
        </w:rPr>
      </w:pPr>
    </w:p>
    <w:p w14:paraId="35FF7303" w14:textId="77777777" w:rsidR="001B10C3" w:rsidRPr="000E50BB" w:rsidRDefault="0012464F">
      <w:pPr>
        <w:jc w:val="both"/>
        <w:rPr>
          <w:rFonts w:ascii="Arial" w:eastAsia="Arial" w:hAnsi="Arial" w:cs="Arial"/>
          <w:b/>
          <w:bCs/>
          <w:lang w:val="pl-PL"/>
        </w:rPr>
      </w:pPr>
      <w:r w:rsidRPr="000E50BB">
        <w:rPr>
          <w:rFonts w:ascii="Arial" w:eastAsia="Arial" w:hAnsi="Arial" w:cs="Arial"/>
          <w:b/>
          <w:bCs/>
          <w:lang w:val="pl-PL"/>
        </w:rPr>
        <w:t>68,5 proc. Polek i Polaków obawia się inwazji militarnej na nasz kraj, z czego ponad jedna czwarta (28,8 proc.</w:t>
      </w:r>
      <w:r w:rsidRPr="000E50BB">
        <w:rPr>
          <w:rFonts w:ascii="Arial" w:eastAsia="Arial" w:hAnsi="Arial" w:cs="Arial"/>
          <w:b/>
          <w:bCs/>
          <w:lang w:val="pl-PL"/>
        </w:rPr>
        <w:t xml:space="preserve">) społeczeństwa polskiego zgłasza silne obawy przed wojną – wynika z najnowszego </w:t>
      </w:r>
      <w:hyperlink r:id="rId7">
        <w:r w:rsidRPr="000E50BB">
          <w:rPr>
            <w:rFonts w:ascii="Arial" w:eastAsia="Arial" w:hAnsi="Arial" w:cs="Arial"/>
            <w:b/>
            <w:bCs/>
            <w:color w:val="1155CC"/>
            <w:u w:val="single"/>
            <w:lang w:val="pl-PL"/>
          </w:rPr>
          <w:t>raportu</w:t>
        </w:r>
      </w:hyperlink>
      <w:r w:rsidRPr="000E50BB">
        <w:rPr>
          <w:rFonts w:ascii="Arial" w:eastAsia="Arial" w:hAnsi="Arial" w:cs="Arial"/>
          <w:b/>
          <w:bCs/>
          <w:lang w:val="pl-PL"/>
        </w:rPr>
        <w:t xml:space="preserve"> „Polacy i Polki w obliczu wojny – obawy, poczucie skutecznoś</w:t>
      </w:r>
      <w:r w:rsidRPr="000E50BB">
        <w:rPr>
          <w:rFonts w:ascii="Arial" w:eastAsia="Arial" w:hAnsi="Arial" w:cs="Arial"/>
          <w:b/>
          <w:bCs/>
          <w:lang w:val="pl-PL"/>
        </w:rPr>
        <w:t xml:space="preserve">ci, przewidywane reakcje”, przygotowanego przez </w:t>
      </w:r>
      <w:hyperlink r:id="rId8">
        <w:r w:rsidRPr="000E50BB">
          <w:rPr>
            <w:rFonts w:ascii="Arial" w:eastAsia="Arial" w:hAnsi="Arial" w:cs="Arial"/>
            <w:b/>
            <w:bCs/>
            <w:color w:val="1155CC"/>
            <w:u w:val="single"/>
            <w:lang w:val="pl-PL"/>
          </w:rPr>
          <w:t>Centrum B</w:t>
        </w:r>
        <w:r w:rsidRPr="000E50BB">
          <w:rPr>
            <w:rFonts w:ascii="Arial" w:eastAsia="Arial" w:hAnsi="Arial" w:cs="Arial"/>
            <w:b/>
            <w:bCs/>
            <w:color w:val="1155CC"/>
            <w:u w:val="single"/>
            <w:lang w:val="pl-PL"/>
          </w:rPr>
          <w:t>adań nad Relacjami Społecznymi</w:t>
        </w:r>
      </w:hyperlink>
      <w:r w:rsidRPr="000E50BB">
        <w:rPr>
          <w:rFonts w:ascii="Arial" w:eastAsia="Arial" w:hAnsi="Arial" w:cs="Arial"/>
          <w:b/>
          <w:bCs/>
          <w:lang w:val="pl-PL"/>
        </w:rPr>
        <w:t xml:space="preserve"> Uniwersytetu SWPS. Autorzy badania wskazują, że kluczowy dla dobrostanu psychicznego Polaków jest jednak nie strach przed wojną, lecz wiara we własne możliwości działania w sytuacji zagrożenia.</w:t>
      </w:r>
    </w:p>
    <w:p w14:paraId="23EC0698" w14:textId="77777777" w:rsidR="001B10C3" w:rsidRPr="000E50BB" w:rsidRDefault="0012464F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0E50BB">
        <w:rPr>
          <w:sz w:val="20"/>
          <w:szCs w:val="20"/>
          <w:lang w:val="pl-PL"/>
        </w:rPr>
        <w:t>Po raz pierwszy od lat perspekt</w:t>
      </w:r>
      <w:r w:rsidRPr="000E50BB">
        <w:rPr>
          <w:sz w:val="20"/>
          <w:szCs w:val="20"/>
          <w:lang w:val="pl-PL"/>
        </w:rPr>
        <w:t xml:space="preserve">ywa wojny na terytorium Polski stała się dla wielu osób realnym zagrożeniem, co odbiło się zarówno na życiu społecznym, jak i polityce. Dyskusje o wojnie zaczęły dominować w mediach, a temat ten coraz częściej pojawiał się w wypowiedziach kandydujących do </w:t>
      </w:r>
      <w:r w:rsidRPr="000E50BB">
        <w:rPr>
          <w:sz w:val="20"/>
          <w:szCs w:val="20"/>
          <w:lang w:val="pl-PL"/>
        </w:rPr>
        <w:t>krajowych urzędów. Jak zauważają twórcy raportu „Polacy i Polki w obliczu wojny – obawy, poczucie skuteczności, przewidywane reakcje”, tak intensywna obecność tematu wojny i obronności w debacie publicznej może przekładać się na samopoczucie Polaków i Pole</w:t>
      </w:r>
      <w:r w:rsidRPr="000E50BB">
        <w:rPr>
          <w:sz w:val="20"/>
          <w:szCs w:val="20"/>
          <w:lang w:val="pl-PL"/>
        </w:rPr>
        <w:t>k. Jak pokazują wyniki badań psychologicznych, ciągłe życie w ogólnym poczuciu zagrożenia może wzmagać objawy lęku</w:t>
      </w:r>
      <w:r w:rsidRPr="000E50BB">
        <w:rPr>
          <w:sz w:val="20"/>
          <w:szCs w:val="20"/>
          <w:vertAlign w:val="superscript"/>
          <w:lang w:val="pl-PL"/>
        </w:rPr>
        <w:footnoteReference w:id="1"/>
      </w:r>
      <w:r w:rsidRPr="000E50BB">
        <w:rPr>
          <w:sz w:val="20"/>
          <w:szCs w:val="20"/>
          <w:lang w:val="pl-PL"/>
        </w:rPr>
        <w:t xml:space="preserve"> oraz przekładać się na wzrost objawów depresji</w:t>
      </w:r>
      <w:r w:rsidRPr="000E50BB">
        <w:rPr>
          <w:sz w:val="20"/>
          <w:szCs w:val="20"/>
          <w:vertAlign w:val="superscript"/>
          <w:lang w:val="pl-PL"/>
        </w:rPr>
        <w:footnoteReference w:id="2"/>
      </w:r>
      <w:r w:rsidRPr="000E50BB">
        <w:rPr>
          <w:sz w:val="20"/>
          <w:szCs w:val="20"/>
          <w:lang w:val="pl-PL"/>
        </w:rPr>
        <w:t>.</w:t>
      </w:r>
    </w:p>
    <w:p w14:paraId="30C5BA27" w14:textId="77777777" w:rsidR="001B10C3" w:rsidRPr="000E50BB" w:rsidRDefault="0012464F">
      <w:pPr>
        <w:spacing w:before="1" w:line="300" w:lineRule="auto"/>
        <w:ind w:left="23" w:right="17"/>
        <w:jc w:val="both"/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</w:pPr>
      <w:r w:rsidRPr="000E50BB"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  <w:t>Lęk przed wojną a poczucie własnej sprawczości</w:t>
      </w:r>
    </w:p>
    <w:p w14:paraId="2C834834" w14:textId="77777777" w:rsidR="001B10C3" w:rsidRPr="000E50BB" w:rsidRDefault="0012464F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0E50BB">
        <w:rPr>
          <w:sz w:val="20"/>
          <w:szCs w:val="20"/>
          <w:lang w:val="pl-PL"/>
        </w:rPr>
        <w:t>Wyniki sondażu przeprowadzonego między wrz</w:t>
      </w:r>
      <w:r w:rsidRPr="000E50BB">
        <w:rPr>
          <w:sz w:val="20"/>
          <w:szCs w:val="20"/>
          <w:lang w:val="pl-PL"/>
        </w:rPr>
        <w:t>eśniem a październikiem 2025 roku przez Centrum Badań nad Relacjami Społecznymi Uniwersytetu SWPS, na reprezentatywnej próbie Polaków (N=1029), wskazują, że choć większość społeczeństwa (</w:t>
      </w:r>
      <w:r w:rsidRPr="000E50BB">
        <w:rPr>
          <w:sz w:val="20"/>
          <w:szCs w:val="20"/>
          <w:highlight w:val="white"/>
          <w:lang w:val="pl-PL"/>
        </w:rPr>
        <w:t>68,5 proc.</w:t>
      </w:r>
      <w:r w:rsidRPr="000E50BB">
        <w:rPr>
          <w:sz w:val="20"/>
          <w:szCs w:val="20"/>
          <w:lang w:val="pl-PL"/>
        </w:rPr>
        <w:t>) obawia się inwazji militarnej na Polskę, to kluczowym czy</w:t>
      </w:r>
      <w:r w:rsidRPr="000E50BB">
        <w:rPr>
          <w:sz w:val="20"/>
          <w:szCs w:val="20"/>
          <w:lang w:val="pl-PL"/>
        </w:rPr>
        <w:t xml:space="preserve">nnikiem decydującym o dobrostanie psychologicznym obywateli jest nie sam poziom lęku, lecz przekonanie o własnej skuteczności w radzeniu sobie w sytuacji </w:t>
      </w:r>
      <w:r w:rsidRPr="000E50BB">
        <w:rPr>
          <w:sz w:val="20"/>
          <w:szCs w:val="20"/>
          <w:lang w:val="pl-PL"/>
        </w:rPr>
        <w:lastRenderedPageBreak/>
        <w:t xml:space="preserve">kryzysowej. Co czwarty Polak </w:t>
      </w:r>
      <w:r w:rsidRPr="000E50BB">
        <w:rPr>
          <w:sz w:val="20"/>
          <w:szCs w:val="20"/>
          <w:highlight w:val="white"/>
          <w:lang w:val="pl-PL"/>
        </w:rPr>
        <w:t>(23,9 proc</w:t>
      </w:r>
      <w:r w:rsidRPr="000E50BB">
        <w:rPr>
          <w:sz w:val="20"/>
          <w:szCs w:val="20"/>
          <w:lang w:val="pl-PL"/>
        </w:rPr>
        <w:t>.) ma poczucie, że poradzi sobie w obliczu wojny. Autorzy rapor</w:t>
      </w:r>
      <w:r w:rsidRPr="000E50BB">
        <w:rPr>
          <w:sz w:val="20"/>
          <w:szCs w:val="20"/>
          <w:lang w:val="pl-PL"/>
        </w:rPr>
        <w:t>tu wskazują, że świadomość, iż „damy sobie radę”, ma większe znaczenie dla dobrostanu psychicznego niż deklarowane obawy przed wybuchem wojny.</w:t>
      </w:r>
    </w:p>
    <w:p w14:paraId="4375CB28" w14:textId="77777777" w:rsidR="001B10C3" w:rsidRPr="000E50BB" w:rsidRDefault="001B10C3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18FF9653" w14:textId="77777777" w:rsidR="001B10C3" w:rsidRPr="000E50BB" w:rsidRDefault="0012464F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0E50BB">
        <w:rPr>
          <w:sz w:val="20"/>
          <w:szCs w:val="20"/>
          <w:highlight w:val="white"/>
          <w:lang w:val="pl-PL"/>
        </w:rPr>
        <w:t>– Wyniki naszego badania pokazują, jak ważne jest budowanie w Polakach i Polkach przekonania, że w razie wybuchu</w:t>
      </w:r>
      <w:r w:rsidRPr="000E50BB">
        <w:rPr>
          <w:sz w:val="20"/>
          <w:szCs w:val="20"/>
          <w:highlight w:val="white"/>
          <w:lang w:val="pl-PL"/>
        </w:rPr>
        <w:t xml:space="preserve"> wojny poradzą sobie z sytuacją. Zamiast nieustannie podkreślać wagę potencjalnego niebezpieczeństwa, media i politycy powinni raczej informować o tym, jakie konkretne działania możemy podejmować w sytuacji zagrożenia. Taki konstruktywny sposób podejścia d</w:t>
      </w:r>
      <w:r w:rsidRPr="000E50BB">
        <w:rPr>
          <w:sz w:val="20"/>
          <w:szCs w:val="20"/>
          <w:highlight w:val="white"/>
          <w:lang w:val="pl-PL"/>
        </w:rPr>
        <w:t>o sprawy może mieć znacznie lepszy skutek i przynieść realny zysk naszemu społeczeństwu tak dziś, jak i w przyszłości</w:t>
      </w:r>
      <w:r w:rsidRPr="000E50BB">
        <w:rPr>
          <w:i/>
          <w:iCs/>
          <w:sz w:val="20"/>
          <w:szCs w:val="20"/>
          <w:highlight w:val="white"/>
          <w:lang w:val="pl-PL"/>
        </w:rPr>
        <w:t xml:space="preserve"> </w:t>
      </w:r>
      <w:r w:rsidRPr="000E50BB">
        <w:rPr>
          <w:sz w:val="20"/>
          <w:szCs w:val="20"/>
          <w:highlight w:val="white"/>
          <w:lang w:val="pl-PL"/>
        </w:rPr>
        <w:t>–</w:t>
      </w:r>
      <w:r w:rsidRPr="000E50BB">
        <w:rPr>
          <w:sz w:val="20"/>
          <w:szCs w:val="20"/>
          <w:lang w:val="pl-PL"/>
        </w:rPr>
        <w:t xml:space="preserve"> mówi dr Dominika Bulska z Centrum Badań nad Relacjami Społecznymi Uniwersytetu SWPS, współautorka raportu. </w:t>
      </w:r>
    </w:p>
    <w:p w14:paraId="2036AAFF" w14:textId="77777777" w:rsidR="001B10C3" w:rsidRPr="000E50BB" w:rsidRDefault="0012464F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0E50BB">
        <w:rPr>
          <w:sz w:val="20"/>
          <w:szCs w:val="20"/>
          <w:lang w:val="pl-PL"/>
        </w:rPr>
        <w:t>Jak zauważają twórcy publikacji, choć na przestrzeni minionego roku (w okresie wrzesień 2024-wrzesień 2025) wzrosło poczucie zagrożenia wojną deklarowane przez Polaków i Polki, większe jest również przekonanie o własnej skuteczności w obliczu wojny. To sug</w:t>
      </w:r>
      <w:r w:rsidRPr="000E50BB">
        <w:rPr>
          <w:sz w:val="20"/>
          <w:szCs w:val="20"/>
          <w:lang w:val="pl-PL"/>
        </w:rPr>
        <w:t xml:space="preserve">eruje, że chociaż w 2025 roku Polacy i Polki bardziej obawiają się wybuchu wojny niż przed rokiem, to również w nieco większym stopniu twierdzą, że poradzą sobie w razie jej wybuchu w Polsce. </w:t>
      </w:r>
    </w:p>
    <w:p w14:paraId="6C4ABEFE" w14:textId="77777777" w:rsidR="001B10C3" w:rsidRPr="000E50BB" w:rsidRDefault="0012464F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0E50BB">
        <w:rPr>
          <w:sz w:val="20"/>
          <w:szCs w:val="20"/>
          <w:lang w:val="pl-PL"/>
        </w:rPr>
        <w:t>W 2024 roku niemal 40 proc. Polaków i Polek deklarowało, że nie</w:t>
      </w:r>
      <w:r w:rsidRPr="000E50BB">
        <w:rPr>
          <w:sz w:val="20"/>
          <w:szCs w:val="20"/>
          <w:lang w:val="pl-PL"/>
        </w:rPr>
        <w:t xml:space="preserve"> wie, co zrobi, jeśli w Polsce wybuchnie wojna</w:t>
      </w:r>
      <w:r w:rsidRPr="000E50BB">
        <w:rPr>
          <w:sz w:val="20"/>
          <w:szCs w:val="20"/>
          <w:vertAlign w:val="superscript"/>
          <w:lang w:val="pl-PL"/>
        </w:rPr>
        <w:footnoteReference w:id="3"/>
      </w:r>
      <w:r w:rsidRPr="000E50BB">
        <w:rPr>
          <w:sz w:val="20"/>
          <w:szCs w:val="20"/>
          <w:lang w:val="pl-PL"/>
        </w:rPr>
        <w:t>. Co piąta osoba (19,4 proc.) twierdziła, że wyjedzie za granicę, zaś co dziesiąta (10,8 proc.) zgłaszała, że w sytuacji wojny wstąpi do wojska. Jak podkreślają twórcy badania, mężczyźni byli istotnie bardzie</w:t>
      </w:r>
      <w:r w:rsidRPr="000E50BB">
        <w:rPr>
          <w:sz w:val="20"/>
          <w:szCs w:val="20"/>
          <w:lang w:val="pl-PL"/>
        </w:rPr>
        <w:t>j skłonni deklarować gotowość do służby wojskowej w razie wybuchu wojny w Polsce niż kobiety. Autorzy raportu zauważają, że w grupie badanych osób w 2025 roku gotowość do przystąpienia do wojska nadal jest silnie uzależniona od płci i w zdecydowanej większ</w:t>
      </w:r>
      <w:r w:rsidRPr="000E50BB">
        <w:rPr>
          <w:sz w:val="20"/>
          <w:szCs w:val="20"/>
          <w:lang w:val="pl-PL"/>
        </w:rPr>
        <w:t>ości deklarują ją mężczyźni.</w:t>
      </w:r>
    </w:p>
    <w:p w14:paraId="3989CFF3" w14:textId="77777777" w:rsidR="000E50BB" w:rsidRDefault="000E50BB">
      <w:pPr>
        <w:spacing w:before="1" w:line="300" w:lineRule="auto"/>
        <w:ind w:left="23" w:right="17"/>
        <w:jc w:val="both"/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</w:pPr>
    </w:p>
    <w:p w14:paraId="66545526" w14:textId="4C537A5B" w:rsidR="000E50BB" w:rsidRDefault="0012464F">
      <w:pPr>
        <w:spacing w:before="1" w:line="300" w:lineRule="auto"/>
        <w:ind w:left="23" w:right="17"/>
        <w:jc w:val="both"/>
        <w:rPr>
          <w:rFonts w:ascii="Roboto" w:eastAsia="Roboto" w:hAnsi="Roboto" w:cs="Roboto"/>
          <w:b/>
          <w:bCs/>
          <w:sz w:val="21"/>
          <w:szCs w:val="21"/>
          <w:lang w:val="pl-PL"/>
        </w:rPr>
      </w:pPr>
      <w:r w:rsidRPr="000E50BB"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  <w:lastRenderedPageBreak/>
        <w:t xml:space="preserve">Rola tożsamości narodowej w kształtowaniu obaw i reakcji na zagrożenie wojenne </w:t>
      </w:r>
    </w:p>
    <w:p w14:paraId="0A8E059F" w14:textId="5A220630" w:rsidR="001B10C3" w:rsidRPr="000E50BB" w:rsidRDefault="0012464F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0E50BB">
        <w:rPr>
          <w:sz w:val="20"/>
          <w:szCs w:val="20"/>
          <w:lang w:val="pl-PL"/>
        </w:rPr>
        <w:t>Twórcy badania przeanalizowali również, w jakim stopniu obawy przed wojną oraz poczucie własnej skuteczności w obliczu wojny związane są z dwiema fo</w:t>
      </w:r>
      <w:r w:rsidRPr="000E50BB">
        <w:rPr>
          <w:sz w:val="20"/>
          <w:szCs w:val="20"/>
          <w:lang w:val="pl-PL"/>
        </w:rPr>
        <w:t>rmami identyfikacji narodowej</w:t>
      </w:r>
      <w:r w:rsidRPr="000E50BB">
        <w:rPr>
          <w:sz w:val="20"/>
          <w:szCs w:val="20"/>
          <w:vertAlign w:val="superscript"/>
          <w:lang w:val="pl-PL"/>
        </w:rPr>
        <w:footnoteReference w:id="4"/>
      </w:r>
      <w:r w:rsidRPr="000E50BB">
        <w:rPr>
          <w:sz w:val="20"/>
          <w:szCs w:val="20"/>
          <w:lang w:val="pl-PL"/>
        </w:rPr>
        <w:t>. Przeprowadzone analizy pokazały, że osoby o wyższym natężeniu bezpiecznej identyfikacji z narodem – przy kontroli narcyzmu narodowego, wieku i płci – były bardziej skłonne deklarować obawę przed inwazją militarną na Polskę</w:t>
      </w:r>
      <w:r w:rsidRPr="000E50BB">
        <w:rPr>
          <w:sz w:val="20"/>
          <w:szCs w:val="20"/>
          <w:vertAlign w:val="superscript"/>
          <w:lang w:val="pl-PL"/>
        </w:rPr>
        <w:footnoteReference w:id="5"/>
      </w:r>
      <w:r w:rsidRPr="000E50BB">
        <w:rPr>
          <w:sz w:val="20"/>
          <w:szCs w:val="20"/>
          <w:lang w:val="pl-PL"/>
        </w:rPr>
        <w:t>. Z kolei narcyzm narodowy – przy kontroli bezpiecznej identyfikacji z narodem – nie był istotnie związany z postrzeganym zagrożeniem wybuchem wojny. Jak wskazują twórcy badania, obydwie formy tożsamości narodowej mają inne podstawy psychologiczne i co za</w:t>
      </w:r>
      <w:r w:rsidRPr="000E50BB">
        <w:rPr>
          <w:sz w:val="20"/>
          <w:szCs w:val="20"/>
          <w:lang w:val="pl-PL"/>
        </w:rPr>
        <w:t xml:space="preserve"> tym idzie, różne konsekwencje dla funkcjonowania społeczno-psychologicznego poszczególnych osób. </w:t>
      </w:r>
    </w:p>
    <w:p w14:paraId="057A553F" w14:textId="77777777" w:rsidR="001B10C3" w:rsidRPr="000E50BB" w:rsidRDefault="001B10C3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4124F301" w14:textId="77777777" w:rsidR="001B10C3" w:rsidRPr="000E50BB" w:rsidRDefault="0012464F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0E50BB">
        <w:rPr>
          <w:sz w:val="20"/>
          <w:szCs w:val="20"/>
          <w:lang w:val="pl-PL"/>
        </w:rPr>
        <w:t>Bezpieczna forma identyfikacji z narodem związana jest nie tylko z pozytywnym obrazem swojej grupy, lecz także z dbaniem o jej dobro i wzrost</w:t>
      </w:r>
      <w:r w:rsidRPr="000E50BB">
        <w:rPr>
          <w:sz w:val="20"/>
          <w:szCs w:val="20"/>
          <w:vertAlign w:val="superscript"/>
          <w:lang w:val="pl-PL"/>
        </w:rPr>
        <w:footnoteReference w:id="6"/>
      </w:r>
      <w:r w:rsidRPr="000E50BB">
        <w:rPr>
          <w:sz w:val="20"/>
          <w:szCs w:val="20"/>
          <w:lang w:val="pl-PL"/>
        </w:rPr>
        <w:t xml:space="preserve"> oraz konstru</w:t>
      </w:r>
      <w:r w:rsidRPr="000E50BB">
        <w:rPr>
          <w:sz w:val="20"/>
          <w:szCs w:val="20"/>
          <w:lang w:val="pl-PL"/>
        </w:rPr>
        <w:t>ktywnym reagowaniem na napięcia międzygrupowe. U podstaw narcyzmu narodowego leżą natomiast niezaspokojone potrzeby psychologiczne, takie jak obniżona (lub niestabilna) samoocena i podwyższona potrzeba poczucia kontroli. Autorzy raportu zauważają, że w kon</w:t>
      </w:r>
      <w:r w:rsidRPr="000E50BB">
        <w:rPr>
          <w:sz w:val="20"/>
          <w:szCs w:val="20"/>
          <w:lang w:val="pl-PL"/>
        </w:rPr>
        <w:t>sekwencji osoby o wysokim stopniu narcyzmu narodowego są szczególnie wrażliwe na zagrożenia dla wizerunku grupy własnej (np. własnego narodu), niekoniecznie zaś dla jej faktycznego bezpieczeństwa i dobrostanu.</w:t>
      </w:r>
    </w:p>
    <w:p w14:paraId="418B5224" w14:textId="77777777" w:rsidR="001B10C3" w:rsidRPr="000E50BB" w:rsidRDefault="001B10C3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18DB14AF" w14:textId="77777777" w:rsidR="001B10C3" w:rsidRPr="000E50BB" w:rsidRDefault="0012464F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0E50BB">
        <w:rPr>
          <w:i/>
          <w:iCs/>
          <w:sz w:val="20"/>
          <w:szCs w:val="20"/>
          <w:lang w:val="pl-PL"/>
        </w:rPr>
        <w:t xml:space="preserve">– </w:t>
      </w:r>
      <w:r w:rsidRPr="000E50BB">
        <w:rPr>
          <w:sz w:val="20"/>
          <w:szCs w:val="20"/>
          <w:lang w:val="pl-PL"/>
        </w:rPr>
        <w:t>Osoby odczuwające patriotyczną więź z narod</w:t>
      </w:r>
      <w:r w:rsidRPr="000E50BB">
        <w:rPr>
          <w:sz w:val="20"/>
          <w:szCs w:val="20"/>
          <w:lang w:val="pl-PL"/>
        </w:rPr>
        <w:t xml:space="preserve">em polskim w większym stopniu obawiają się wojny niż osoby niezwiązane z Polską w tak dużym stopniu. Taki wynik </w:t>
      </w:r>
      <w:r w:rsidRPr="000E50BB">
        <w:rPr>
          <w:sz w:val="20"/>
          <w:szCs w:val="20"/>
          <w:lang w:val="pl-PL"/>
        </w:rPr>
        <w:lastRenderedPageBreak/>
        <w:t>nie jest jednak zaskakujący – w końcu to dla tych osób naród polski ma szczególne znaczenie, więc to i te osoby bardziej niepokoją się o jego do</w:t>
      </w:r>
      <w:r w:rsidRPr="000E50BB">
        <w:rPr>
          <w:sz w:val="20"/>
          <w:szCs w:val="20"/>
          <w:lang w:val="pl-PL"/>
        </w:rPr>
        <w:t>bro – dodaje dr Dominika Bulska.</w:t>
      </w:r>
    </w:p>
    <w:p w14:paraId="27B53CBE" w14:textId="77777777" w:rsidR="001B10C3" w:rsidRPr="000E50BB" w:rsidRDefault="001B10C3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6EE7FD38" w14:textId="77777777" w:rsidR="001B10C3" w:rsidRPr="000E50BB" w:rsidRDefault="0012464F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0E50BB">
        <w:rPr>
          <w:sz w:val="20"/>
          <w:szCs w:val="20"/>
          <w:lang w:val="pl-PL"/>
        </w:rPr>
        <w:t>W przypadku przekonania o własnej skuteczności w obliczu wojny, zarówno narcyzm narodowy, jak i bezpieczna identyfikacja narodowa okazały się być nieistotnymi czynnikami</w:t>
      </w:r>
      <w:r w:rsidRPr="000E50BB">
        <w:rPr>
          <w:sz w:val="20"/>
          <w:szCs w:val="20"/>
          <w:vertAlign w:val="superscript"/>
          <w:lang w:val="pl-PL"/>
        </w:rPr>
        <w:footnoteReference w:id="7"/>
      </w:r>
      <w:r w:rsidRPr="000E50BB">
        <w:rPr>
          <w:sz w:val="20"/>
          <w:szCs w:val="20"/>
          <w:lang w:val="pl-PL"/>
        </w:rPr>
        <w:t>.</w:t>
      </w:r>
    </w:p>
    <w:p w14:paraId="54EA3006" w14:textId="77777777" w:rsidR="001B10C3" w:rsidRPr="000E50BB" w:rsidRDefault="001B10C3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37413890" w14:textId="77777777" w:rsidR="001B10C3" w:rsidRPr="000E50BB" w:rsidRDefault="0012464F">
      <w:pPr>
        <w:spacing w:before="1" w:line="300" w:lineRule="auto"/>
        <w:ind w:right="17"/>
        <w:jc w:val="both"/>
        <w:rPr>
          <w:sz w:val="20"/>
          <w:szCs w:val="20"/>
          <w:lang w:val="pl-PL"/>
        </w:rPr>
      </w:pPr>
      <w:r w:rsidRPr="000E50BB">
        <w:rPr>
          <w:sz w:val="20"/>
          <w:szCs w:val="20"/>
          <w:lang w:val="pl-PL"/>
        </w:rPr>
        <w:t xml:space="preserve">Autorami raportu są dr Dominika Bulska i Bronisław Bremer. Publikacja dostępna jest na </w:t>
      </w:r>
      <w:hyperlink r:id="rId9">
        <w:r w:rsidRPr="000E50BB">
          <w:rPr>
            <w:b/>
            <w:bCs/>
            <w:color w:val="1155CC"/>
            <w:sz w:val="20"/>
            <w:szCs w:val="20"/>
            <w:u w:val="single"/>
            <w:lang w:val="pl-PL"/>
          </w:rPr>
          <w:t>stronie</w:t>
        </w:r>
      </w:hyperlink>
      <w:r w:rsidRPr="000E50BB">
        <w:rPr>
          <w:sz w:val="20"/>
          <w:szCs w:val="20"/>
          <w:lang w:val="pl-PL"/>
        </w:rPr>
        <w:t>.</w:t>
      </w:r>
    </w:p>
    <w:p w14:paraId="5C23B2BE" w14:textId="77777777" w:rsidR="001B10C3" w:rsidRPr="000E50BB" w:rsidRDefault="001B10C3">
      <w:pPr>
        <w:spacing w:before="1" w:line="300" w:lineRule="auto"/>
        <w:ind w:right="17"/>
        <w:jc w:val="both"/>
        <w:rPr>
          <w:sz w:val="20"/>
          <w:szCs w:val="20"/>
          <w:lang w:val="pl-PL"/>
        </w:rPr>
      </w:pPr>
    </w:p>
    <w:p w14:paraId="608D1955" w14:textId="77777777" w:rsidR="001B10C3" w:rsidRPr="000E50BB" w:rsidRDefault="0012464F">
      <w:pPr>
        <w:widowControl/>
        <w:spacing w:line="276" w:lineRule="auto"/>
        <w:jc w:val="both"/>
        <w:rPr>
          <w:rFonts w:ascii="Arial" w:eastAsia="Arial" w:hAnsi="Arial" w:cs="Arial"/>
          <w:b/>
          <w:bCs/>
          <w:lang w:val="pl-PL"/>
        </w:rPr>
      </w:pPr>
      <w:r w:rsidRPr="000E50BB">
        <w:rPr>
          <w:rFonts w:ascii="Arial" w:eastAsia="Arial" w:hAnsi="Arial" w:cs="Arial"/>
          <w:b/>
          <w:bCs/>
          <w:lang w:val="pl-PL"/>
        </w:rPr>
        <w:t>****</w:t>
      </w:r>
    </w:p>
    <w:p w14:paraId="2011CAD1" w14:textId="77777777" w:rsidR="001B10C3" w:rsidRPr="000E50BB" w:rsidRDefault="001B10C3">
      <w:pPr>
        <w:widowControl/>
        <w:spacing w:line="276" w:lineRule="auto"/>
        <w:jc w:val="both"/>
        <w:rPr>
          <w:b/>
          <w:bCs/>
          <w:sz w:val="20"/>
          <w:szCs w:val="20"/>
          <w:lang w:val="pl-PL"/>
        </w:rPr>
      </w:pPr>
    </w:p>
    <w:p w14:paraId="659E6DD8" w14:textId="77777777" w:rsidR="001B10C3" w:rsidRPr="000E50BB" w:rsidRDefault="0012464F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0E50BB">
        <w:rPr>
          <w:b/>
          <w:bCs/>
          <w:sz w:val="20"/>
          <w:szCs w:val="20"/>
          <w:lang w:val="pl-PL"/>
        </w:rPr>
        <w:t>Uniwersytet SWPS</w:t>
      </w:r>
      <w:r w:rsidRPr="000E50BB">
        <w:rPr>
          <w:sz w:val="20"/>
          <w:szCs w:val="20"/>
          <w:lang w:val="pl-PL"/>
        </w:rPr>
        <w:t xml:space="preserve"> to nowoczesna uczelnia oparta</w:t>
      </w:r>
      <w:r w:rsidRPr="000E50BB">
        <w:rPr>
          <w:sz w:val="20"/>
          <w:szCs w:val="20"/>
          <w:lang w:val="pl-PL"/>
        </w:rPr>
        <w:t xml:space="preserve"> na trwałych wartościach. Silną pozycję zawdzięcza połączeniu wysokiej jakości dydaktyki z badaniami naukowymi prowadzonymi na najwyższym poziomie. Uczelnia kształci blisko 18 tys. studentek i studentów – w tym ponad tysiąc z zagranicy oraz ponad 4,5 tys. </w:t>
      </w:r>
      <w:r w:rsidRPr="000E50BB">
        <w:rPr>
          <w:sz w:val="20"/>
          <w:szCs w:val="20"/>
          <w:lang w:val="pl-PL"/>
        </w:rPr>
        <w:t>słuchaczek i słuchaczy studiów podyplomowych na ponad 50 kierunkach studiów stacjonarnych i ponad 40 niestacjonarnych i ok. 240 kierunkach studiów podyplomowych. Uniwersytet oferuje programy studiów z psychologii, prawa, zarządzania, dziennikarstwa, filolo</w:t>
      </w:r>
      <w:r w:rsidRPr="000E50BB">
        <w:rPr>
          <w:sz w:val="20"/>
          <w:szCs w:val="20"/>
          <w:lang w:val="pl-PL"/>
        </w:rPr>
        <w:t>gii, kulturoznawstwa, nowych technologii oraz grafiki i wzornictwa, a także edukację w postaci szkoleń i krótkich kursów akademickich. Uczelnia dba o wysoką wartość akademicką naszych programów oraz ich dostosowanie do wymagań zmieniającego się rynku pracy</w:t>
      </w:r>
      <w:r w:rsidRPr="000E50BB">
        <w:rPr>
          <w:sz w:val="20"/>
          <w:szCs w:val="20"/>
          <w:lang w:val="pl-PL"/>
        </w:rPr>
        <w:t>. Kampusy Uniwersytetu SWPS znajdują się w sześciu miastach: Warszawie (siedziba), Wrocławiu, Sopocie, Poznaniu, Katowicach i w Krakowie.</w:t>
      </w:r>
    </w:p>
    <w:p w14:paraId="09E8E0F9" w14:textId="77777777" w:rsidR="001B10C3" w:rsidRPr="000E50BB" w:rsidRDefault="001B10C3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460B5A58" w14:textId="77777777" w:rsidR="001B10C3" w:rsidRPr="000E50BB" w:rsidRDefault="0012464F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0E50BB">
        <w:rPr>
          <w:sz w:val="20"/>
          <w:szCs w:val="20"/>
          <w:lang w:val="pl-PL"/>
        </w:rPr>
        <w:t>Uczelnia posiada uprawnienia do nadawania stopnia doktora oraz doktora habilitowanego w siedmiu dyscyplinach: psychol</w:t>
      </w:r>
      <w:r w:rsidRPr="000E50BB">
        <w:rPr>
          <w:sz w:val="20"/>
          <w:szCs w:val="20"/>
          <w:lang w:val="pl-PL"/>
        </w:rPr>
        <w:t xml:space="preserve">ogia, nauki o kulturze i religii, literaturoznawstwo, nauki prawne, nauki socjologiczne, nauki o polityce i administracji, sztuki plastyczne i konserwacja dzieł sztuki. Na Uniwersytecie SWPS </w:t>
      </w:r>
      <w:r w:rsidRPr="000E50BB">
        <w:rPr>
          <w:sz w:val="20"/>
          <w:szCs w:val="20"/>
          <w:lang w:val="pl-PL"/>
        </w:rPr>
        <w:lastRenderedPageBreak/>
        <w:t>funkcjonuje pięć instytutów naukowych, które zajmują się organiza</w:t>
      </w:r>
      <w:r w:rsidRPr="000E50BB">
        <w:rPr>
          <w:sz w:val="20"/>
          <w:szCs w:val="20"/>
          <w:lang w:val="pl-PL"/>
        </w:rPr>
        <w:t>cją i koordynacją działalności naukowej pracowników badawczych i badawczo-dydaktycznych uczelni w poszczególnych dyscyplinach: Instytut Psychologii, Instytut Nauk Humanistycznych, Instytut Nauk Społecznych, Instytut Prawa oraz Instytut Projektowania. W ucz</w:t>
      </w:r>
      <w:r w:rsidRPr="000E50BB">
        <w:rPr>
          <w:sz w:val="20"/>
          <w:szCs w:val="20"/>
          <w:lang w:val="pl-PL"/>
        </w:rPr>
        <w:t>elni działa blisko 30 centrów badawczych oraz ponad 175 kół naukowych.</w:t>
      </w:r>
    </w:p>
    <w:p w14:paraId="3C95AA0D" w14:textId="77777777" w:rsidR="001B10C3" w:rsidRPr="000E50BB" w:rsidRDefault="001B10C3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54A98485" w14:textId="77777777" w:rsidR="001B10C3" w:rsidRPr="000E50BB" w:rsidRDefault="0012464F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0E50BB">
        <w:rPr>
          <w:sz w:val="20"/>
          <w:szCs w:val="20"/>
          <w:lang w:val="pl-PL"/>
        </w:rPr>
        <w:t xml:space="preserve">Uniwersytet SWPS należy do sojuszu </w:t>
      </w:r>
      <w:proofErr w:type="spellStart"/>
      <w:r w:rsidRPr="000E50BB">
        <w:rPr>
          <w:sz w:val="20"/>
          <w:szCs w:val="20"/>
          <w:lang w:val="pl-PL"/>
        </w:rPr>
        <w:t>European</w:t>
      </w:r>
      <w:proofErr w:type="spellEnd"/>
      <w:r w:rsidRPr="000E50BB">
        <w:rPr>
          <w:sz w:val="20"/>
          <w:szCs w:val="20"/>
          <w:lang w:val="pl-PL"/>
        </w:rPr>
        <w:t xml:space="preserve"> Reform University Alliance (ERUA). Jest to sojusz uczelni zawarty w ramach Inicjatywy Uniwersytetów Europejskich, powołanej i finansowanej p</w:t>
      </w:r>
      <w:r w:rsidRPr="000E50BB">
        <w:rPr>
          <w:sz w:val="20"/>
          <w:szCs w:val="20"/>
          <w:lang w:val="pl-PL"/>
        </w:rPr>
        <w:t>rzez Komisję Europejską.</w:t>
      </w:r>
    </w:p>
    <w:sectPr w:rsidR="001B10C3" w:rsidRPr="000E50BB">
      <w:headerReference w:type="even" r:id="rId10"/>
      <w:headerReference w:type="default" r:id="rId11"/>
      <w:footerReference w:type="default" r:id="rId12"/>
      <w:headerReference w:type="first" r:id="rId13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3944D6" w14:textId="77777777" w:rsidR="0012464F" w:rsidRDefault="0012464F">
      <w:r>
        <w:separator/>
      </w:r>
    </w:p>
  </w:endnote>
  <w:endnote w:type="continuationSeparator" w:id="0">
    <w:p w14:paraId="3A6223C6" w14:textId="77777777" w:rsidR="0012464F" w:rsidRDefault="001246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96467685-42DF-4507-A225-6C436F582E70}"/>
    <w:embedBold r:id="rId2" w:fontKey="{CC0942B9-0846-4142-9682-6EB589F449A4}"/>
    <w:embedItalic r:id="rId3" w:fontKey="{7B32F014-7881-46AC-828B-796C34C9CC8E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4" w:fontKey="{4A795DA5-2A6C-4D4C-A32F-1DDB2BC55B06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B4EE7F6B-55DA-48E7-96B7-6AC32399F469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2FF" w:usb1="5000205B" w:usb2="00000020" w:usb3="00000000" w:csb0="0000019F" w:csb1="00000000"/>
    <w:embedBold r:id="rId6" w:fontKey="{616E4E7B-0BF1-4601-A9C8-89A646786FFD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629860C1-55DC-4EB3-8A4A-9138D56317A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B225109D-871D-4B0A-89B0-BEB53E5E7C9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641894" w14:textId="77777777" w:rsidR="001B10C3" w:rsidRDefault="0012464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0" distR="0" simplePos="0" relativeHeight="251656704" behindDoc="1" locked="0" layoutInCell="1" hidden="0" allowOverlap="1" wp14:anchorId="3987DC94" wp14:editId="2C25F867">
              <wp:simplePos x="0" y="0"/>
              <wp:positionH relativeFrom="column">
                <wp:posOffset>-4761</wp:posOffset>
              </wp:positionH>
              <wp:positionV relativeFrom="paragraph">
                <wp:posOffset>9571038</wp:posOffset>
              </wp:positionV>
              <wp:extent cx="3571110" cy="427230"/>
              <wp:effectExtent l="0" t="0" r="0" b="0"/>
              <wp:wrapNone/>
              <wp:docPr id="12" name="Prostokąt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B6CBDDC" w14:textId="77777777" w:rsidR="001B10C3" w:rsidRDefault="0012464F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15BCA4E0" w14:textId="77777777" w:rsidR="001B10C3" w:rsidRDefault="0012464F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987DC94" id="Prostokąt 12" o:spid="_x0000_s1026" style="position:absolute;margin-left:-.35pt;margin-top:753.65pt;width:281.2pt;height:33.65pt;z-index:-25165977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gEaygEAAHMDAAAOAAAAZHJzL2Uyb0RvYy54bWysU1tu2zAQ/C/QOxD8ryU7bWobloOigYsC&#10;QWsg6QEoirSIilx2SVvyAXqzHqxLSk76+AvyQw2Xg92Z3dXmZrAdOykMBlzF57OSM+UkNMYdKv7t&#10;YfdmyVmIwjWiA6cqflaB32xfv9r0fq0W0ELXKGSUxIV17yvexujXRRFkq6wIM/DK0aMGtCLSFQ9F&#10;g6Kn7LYrFmV5XfSAjUeQKgSK3o6PfJvza61k/Kp1UJF1FSdtMZ+YzzqdxXYj1gcUvjVykiGeocIK&#10;46joY6pbEQU7ovkvlTUSIYCOMwm2AK2NVNkDuZmX/7i5b4VX2Qs1J/jHNoWXSyu/nPbITEOzW3Dm&#10;hKUZ7UlhhO+/fkZGQepQ78OaiPd+j9MtEEx2B402fckIGyp+9W65KhfU53PCq7er66nDaohMZsL8&#10;KgWZTIz3ZbnMhOIpk8cQPymwLIGKI00wN1ac7kKk6kS9UFJhBzvTdXmKnfsrQMQUKZL4UW5CcaiH&#10;yUMNzZm8By93hmrdiRD3Amn6c8562oiKhx9HgYqz7rOjlqf1uQC8gPoChJMt0GLVnI3wY8xrNmr6&#10;cIygTdafVIylJ3E02Wxr2sK0On/eM+vpX9n+BgAA//8DAFBLAwQUAAYACAAAACEAKrYJ9eEAAAAL&#10;AQAADwAAAGRycy9kb3ducmV2LnhtbEyPTU/DMAyG70j8h8hI3LZkjLWjNJ2mIQ4gLgwkxC1rTVut&#10;cUqTfoxfj3eCox+/ev043Uy2EQN2vnakYTFXIJByV9RUanh/e5ytQfhgqDCNI9RwQg+b7PIiNUnh&#10;RnrFYR9KwSXkE6OhCqFNpPR5hdb4uWuRePflOmsCj10pi86MXG4beaNUJK2piS9UpsVdhflx31sN&#10;qj9+48NJfS53P8/rgT62d08vo9bXV9P2HkTAKfyF4azP6pCx08H1VHjRaJjFHGS8UvESBAdW0YLR&#10;4Yzi2whklsr/P2S/AAAA//8DAFBLAQItABQABgAIAAAAIQC2gziS/gAAAOEBAAATAAAAAAAAAAAA&#10;AAAAAAAAAABbQ29udGVudF9UeXBlc10ueG1sUEsBAi0AFAAGAAgAAAAhADj9If/WAAAAlAEAAAsA&#10;AAAAAAAAAAAAAAAALwEAAF9yZWxzLy5yZWxzUEsBAi0AFAAGAAgAAAAhALneARrKAQAAcwMAAA4A&#10;AAAAAAAAAAAAAAAALgIAAGRycy9lMm9Eb2MueG1sUEsBAi0AFAAGAAgAAAAhACq2CfXhAAAACwEA&#10;AA8AAAAAAAAAAAAAAAAAJAQAAGRycy9kb3ducmV2LnhtbFBLBQYAAAAABAAEAPMAAAAyBQAAAAA=&#10;" filled="f" stroked="f">
              <v:textbox inset="0,0,0,0">
                <w:txbxContent>
                  <w:p w14:paraId="7B6CBDDC" w14:textId="77777777" w:rsidR="001B10C3" w:rsidRDefault="0012464F">
                    <w:pPr>
                      <w:spacing w:line="275" w:lineRule="auto"/>
                      <w:textDirection w:val="btLr"/>
                    </w:pPr>
                    <w:proofErr w:type="spellStart"/>
                    <w:r>
                      <w:rPr>
                        <w:color w:val="000000"/>
                        <w:sz w:val="14"/>
                      </w:rPr>
                      <w:t>Uniwersytet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SWPS</w:t>
                    </w:r>
                  </w:p>
                  <w:p w14:paraId="15BCA4E0" w14:textId="77777777" w:rsidR="001B10C3" w:rsidRDefault="0012464F">
                    <w:pPr>
                      <w:spacing w:line="275" w:lineRule="auto"/>
                      <w:textDirection w:val="btLr"/>
                    </w:pPr>
                    <w:r>
                      <w:rPr>
                        <w:color w:val="000000"/>
                        <w:sz w:val="14"/>
                      </w:rPr>
                      <w:t xml:space="preserve">ul. </w:t>
                    </w:r>
                    <w:proofErr w:type="spellStart"/>
                    <w:r>
                      <w:rPr>
                        <w:color w:val="000000"/>
                        <w:sz w:val="14"/>
                      </w:rPr>
                      <w:t>Chodakowska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19/31, 03-815 Warszawa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7728" behindDoc="1" locked="0" layoutInCell="1" hidden="0" allowOverlap="1" wp14:anchorId="47B74AB4" wp14:editId="5DB9B993">
              <wp:simplePos x="0" y="0"/>
              <wp:positionH relativeFrom="column">
                <wp:posOffset>-906460</wp:posOffset>
              </wp:positionH>
              <wp:positionV relativeFrom="paragraph">
                <wp:posOffset>9825038</wp:posOffset>
              </wp:positionV>
              <wp:extent cx="958950" cy="176670"/>
              <wp:effectExtent l="0" t="0" r="0" b="0"/>
              <wp:wrapNone/>
              <wp:docPr id="13" name="Prostokąt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A873D68" w14:textId="77777777" w:rsidR="001B10C3" w:rsidRDefault="0012464F">
                          <w:pPr>
                            <w:spacing w:before="20"/>
                            <w:ind w:left="20" w:firstLine="12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7B74AB4" id="Prostokąt 13" o:spid="_x0000_s1027" style="position:absolute;margin-left:-71.35pt;margin-top:773.65pt;width:75.5pt;height:13.9pt;z-index:-25165875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0O9/zwEAAHkDAAAOAAAAZHJzL2Uyb0RvYy54bWysU9uO0zAQfUfiHyy/01x2F9qo6QqxKkJa&#10;QaVlP8Bx7MYi9hjbbdIP4M/4MMZOsgvLG+LFmZtmzjkz2d6Ouidn4bwCU9NilVMiDIdWmWNNH7/u&#10;36wp8YGZlvVgRE0vwtPb3etX28FWooQO+lY4gk2MrwZb0y4EW2WZ553QzK/ACoNJCU6zgK47Zq1j&#10;A3bXfVbm+dtsANdaB1x4j9G7KUl3qb+UgocvUnoRSF9TxBbS69LbxDfbbVl1dMx2is8w2D+g0EwZ&#10;HPrU6o4FRk5O/dVKK+7AgwwrDjoDKRUXiQOyKfIXbB46ZkXiguJ4+yST/39t+efzwRHV4u6uKDFM&#10;444OiDDAt58/AsEgKjRYX2Hhgz242fNoRrqjdDp+kQgZa3q93twUOep8qenVuzIvr2eFxRgIx4JN&#10;XqxjnmNBUWxuypTPnhtZ58NHAZpEo6YOF5h0Zed7H3A4li4lca6Bver7tMTe/BHAwhjJIvYJbbTC&#10;2IwT24VXA+0FFfCW7xWOvGc+HJjDGygoGfAuauq/n5gTlPSfDAofj2gx3GI0i8EM7wDPq6FkMj+E&#10;dGwTtPenAFIlGhHMNHrGiPtN7OZbjAf0u5+qnv+Y3S8AAAD//wMAUEsDBBQABgAIAAAAIQCil7ak&#10;4wAAAAwBAAAPAAAAZHJzL2Rvd25yZXYueG1sTI9LT8MwEITvSPwHa5G4tU76ICHEqaoiDqBeKEiI&#10;m5ssSdR4HWLnUX492xOcVrszmv0m3UymEQN2rrakIJwHIJByW9RUKnh/e5rFIJzXVOjGEio4o4NN&#10;dn2V6qSwI73icPCl4BByiVZQed8mUrq8QqPd3LZIrH3ZzmjPa1fKotMjh5tGLoLgThpdE3+odIu7&#10;CvPToTcKgv70jY/n4HO5+3mJB/rY3j/vR6Vub6btAwiPk/8zwwWf0SFjpqPtqXCiUTALV4uIvays&#10;V9ESBHtiHsfLIVqHILNU/i+R/QIAAP//AwBQSwECLQAUAAYACAAAACEAtoM4kv4AAADhAQAAEwAA&#10;AAAAAAAAAAAAAAAAAAAAW0NvbnRlbnRfVHlwZXNdLnhtbFBLAQItABQABgAIAAAAIQA4/SH/1gAA&#10;AJQBAAALAAAAAAAAAAAAAAAAAC8BAABfcmVscy8ucmVsc1BLAQItABQABgAIAAAAIQD90O9/zwEA&#10;AHkDAAAOAAAAAAAAAAAAAAAAAC4CAABkcnMvZTJvRG9jLnhtbFBLAQItABQABgAIAAAAIQCil7ak&#10;4wAAAAwBAAAPAAAAAAAAAAAAAAAAACkEAABkcnMvZG93bnJldi54bWxQSwUGAAAAAAQABADzAAAA&#10;OQUAAAAA&#10;" filled="f" stroked="f">
              <v:textbox inset="0,0,0,0">
                <w:txbxContent>
                  <w:p w14:paraId="0A873D68" w14:textId="77777777" w:rsidR="001B10C3" w:rsidRDefault="0012464F">
                    <w:pPr>
                      <w:spacing w:before="20"/>
                      <w:ind w:left="20" w:firstLine="120"/>
                      <w:jc w:val="right"/>
                      <w:textDirection w:val="btLr"/>
                    </w:pPr>
                    <w:r>
                      <w:rPr>
                        <w:b/>
                        <w:color w:val="000000"/>
                        <w:sz w:val="14"/>
                      </w:rPr>
                      <w:t>www.swps.pl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936C92" w14:textId="77777777" w:rsidR="0012464F" w:rsidRDefault="0012464F">
      <w:r>
        <w:separator/>
      </w:r>
    </w:p>
  </w:footnote>
  <w:footnote w:type="continuationSeparator" w:id="0">
    <w:p w14:paraId="50BCD9CA" w14:textId="77777777" w:rsidR="0012464F" w:rsidRDefault="0012464F">
      <w:r>
        <w:continuationSeparator/>
      </w:r>
    </w:p>
  </w:footnote>
  <w:footnote w:id="1">
    <w:p w14:paraId="616964DB" w14:textId="77777777" w:rsidR="001B10C3" w:rsidRDefault="0012464F">
      <w:pPr>
        <w:jc w:val="both"/>
        <w:rPr>
          <w:sz w:val="20"/>
          <w:szCs w:val="20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</w:t>
      </w:r>
      <w:proofErr w:type="spellStart"/>
      <w:r>
        <w:rPr>
          <w:sz w:val="16"/>
          <w:szCs w:val="16"/>
        </w:rPr>
        <w:t>Rapee</w:t>
      </w:r>
      <w:proofErr w:type="spellEnd"/>
      <w:r>
        <w:rPr>
          <w:sz w:val="16"/>
          <w:szCs w:val="16"/>
        </w:rPr>
        <w:t>, R. M. (1997). Perceived threat and perceived control as predictors of the degree of fear in physical and social situations. Journal of Anxiety Disorders, 11(5), 455-461.</w:t>
      </w:r>
    </w:p>
  </w:footnote>
  <w:footnote w:id="2">
    <w:p w14:paraId="234F0984" w14:textId="77777777" w:rsidR="001B10C3" w:rsidRPr="000E50BB" w:rsidRDefault="0012464F">
      <w:pPr>
        <w:jc w:val="both"/>
        <w:rPr>
          <w:sz w:val="16"/>
          <w:szCs w:val="16"/>
          <w:lang w:val="pl-PL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Gilbert, P., &amp; Allan, S. (1998). The role of defeat and entrapment (arrested</w:t>
      </w:r>
      <w:r>
        <w:rPr>
          <w:sz w:val="16"/>
          <w:szCs w:val="16"/>
        </w:rPr>
        <w:t xml:space="preserve"> flight) in depression: An exploration of an evolutionary view. </w:t>
      </w:r>
      <w:r w:rsidRPr="000E50BB">
        <w:rPr>
          <w:sz w:val="16"/>
          <w:szCs w:val="16"/>
          <w:lang w:val="pl-PL"/>
        </w:rPr>
        <w:t>Psychological Medicine, 28, 584–597.</w:t>
      </w:r>
    </w:p>
    <w:p w14:paraId="2A2CCC45" w14:textId="77777777" w:rsidR="001B10C3" w:rsidRPr="000E50BB" w:rsidRDefault="001B10C3">
      <w:pPr>
        <w:rPr>
          <w:sz w:val="20"/>
          <w:szCs w:val="20"/>
          <w:lang w:val="pl-PL"/>
        </w:rPr>
      </w:pPr>
    </w:p>
  </w:footnote>
  <w:footnote w:id="3">
    <w:p w14:paraId="13A53934" w14:textId="77777777" w:rsidR="001B10C3" w:rsidRPr="000E50BB" w:rsidRDefault="0012464F">
      <w:pPr>
        <w:jc w:val="both"/>
        <w:rPr>
          <w:sz w:val="20"/>
          <w:szCs w:val="20"/>
          <w:lang w:val="pl-PL"/>
        </w:rPr>
      </w:pPr>
      <w:r>
        <w:rPr>
          <w:vertAlign w:val="superscript"/>
        </w:rPr>
        <w:footnoteRef/>
      </w:r>
      <w:r w:rsidRPr="000E50BB">
        <w:rPr>
          <w:sz w:val="16"/>
          <w:szCs w:val="16"/>
          <w:lang w:val="pl-PL"/>
        </w:rPr>
        <w:t xml:space="preserve"> Analizowano wyniki tylko dla osób, które wzięły udział w obydwu falach badania w 2024 i 2025 roku (N = 605).</w:t>
      </w:r>
    </w:p>
  </w:footnote>
  <w:footnote w:id="4">
    <w:p w14:paraId="449033F7" w14:textId="77777777" w:rsidR="001B10C3" w:rsidRPr="000E50BB" w:rsidRDefault="0012464F">
      <w:pPr>
        <w:jc w:val="both"/>
        <w:rPr>
          <w:sz w:val="16"/>
          <w:szCs w:val="16"/>
          <w:lang w:val="pl-PL"/>
        </w:rPr>
      </w:pPr>
      <w:r>
        <w:rPr>
          <w:vertAlign w:val="superscript"/>
        </w:rPr>
        <w:footnoteRef/>
      </w:r>
      <w:r w:rsidRPr="000E50BB">
        <w:rPr>
          <w:sz w:val="16"/>
          <w:szCs w:val="16"/>
          <w:lang w:val="pl-PL"/>
        </w:rPr>
        <w:t xml:space="preserve"> W tym celu przeprowadzono analizę regresj</w:t>
      </w:r>
      <w:r w:rsidRPr="000E50BB">
        <w:rPr>
          <w:sz w:val="16"/>
          <w:szCs w:val="16"/>
          <w:lang w:val="pl-PL"/>
        </w:rPr>
        <w:t>i liniowej osobno dla każdej ze zmiennych. W analizach jako predyktory uwzględniono dwie formy identyfikacji – narcyzm narodowy i bezpieczną identyfikację narodową – oraz wybrane zmienne demograficzne.</w:t>
      </w:r>
    </w:p>
  </w:footnote>
  <w:footnote w:id="5">
    <w:p w14:paraId="6B266DC9" w14:textId="77777777" w:rsidR="001B10C3" w:rsidRPr="000E50BB" w:rsidRDefault="0012464F">
      <w:pPr>
        <w:jc w:val="both"/>
        <w:rPr>
          <w:sz w:val="16"/>
          <w:szCs w:val="16"/>
          <w:lang w:val="pl-PL"/>
        </w:rPr>
      </w:pPr>
      <w:r>
        <w:rPr>
          <w:vertAlign w:val="superscript"/>
        </w:rPr>
        <w:footnoteRef/>
      </w:r>
      <w:r w:rsidRPr="000E50BB">
        <w:rPr>
          <w:sz w:val="16"/>
          <w:szCs w:val="16"/>
          <w:lang w:val="pl-PL"/>
        </w:rPr>
        <w:t xml:space="preserve"> Przeprowadzono regresję liniową, w której predyktore</w:t>
      </w:r>
      <w:r w:rsidRPr="000E50BB">
        <w:rPr>
          <w:sz w:val="16"/>
          <w:szCs w:val="16"/>
          <w:lang w:val="pl-PL"/>
        </w:rPr>
        <w:t>m były identyfikacja narodowa, narcyzm narodowy, płeć oraz wiek, natomiast zmienną zależną była obawa inwazji militarnej na Polskę. Model okazał się dobrze dopasowany do danych (F(4, 1024) = 21,83; p &lt; 0,001; R2adj.  = 0,08). Związek pomiędzy bezpieczną id</w:t>
      </w:r>
      <w:r w:rsidRPr="000E50BB">
        <w:rPr>
          <w:sz w:val="16"/>
          <w:szCs w:val="16"/>
          <w:lang w:val="pl-PL"/>
        </w:rPr>
        <w:t>entyfikacją a obawą inwazji na Polskę był niski i dodatni (</w:t>
      </w:r>
      <w:r>
        <w:rPr>
          <w:sz w:val="16"/>
          <w:szCs w:val="16"/>
        </w:rPr>
        <w:t>β</w:t>
      </w:r>
      <w:r w:rsidRPr="000E50BB">
        <w:rPr>
          <w:sz w:val="16"/>
          <w:szCs w:val="16"/>
          <w:lang w:val="pl-PL"/>
        </w:rPr>
        <w:t xml:space="preserve"> = 0,11; p = 0,003), z kolei związek pomiędzy narcyzmem narodowym a obawą inwazji militarnej na Polskę był nieistotny.</w:t>
      </w:r>
    </w:p>
  </w:footnote>
  <w:footnote w:id="6">
    <w:p w14:paraId="3C4E96CE" w14:textId="77777777" w:rsidR="001B10C3" w:rsidRDefault="0012464F">
      <w:pPr>
        <w:jc w:val="both"/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A. </w:t>
      </w:r>
      <w:proofErr w:type="spellStart"/>
      <w:r>
        <w:rPr>
          <w:sz w:val="16"/>
          <w:szCs w:val="16"/>
        </w:rPr>
        <w:t>Golece</w:t>
      </w:r>
      <w:proofErr w:type="spellEnd"/>
      <w:r>
        <w:rPr>
          <w:sz w:val="16"/>
          <w:szCs w:val="16"/>
        </w:rPr>
        <w:t xml:space="preserve"> de Zavala, A. </w:t>
      </w:r>
      <w:proofErr w:type="spellStart"/>
      <w:r>
        <w:rPr>
          <w:sz w:val="16"/>
          <w:szCs w:val="16"/>
        </w:rPr>
        <w:t>Ci</w:t>
      </w:r>
      <w:r>
        <w:rPr>
          <w:sz w:val="16"/>
          <w:szCs w:val="16"/>
        </w:rPr>
        <w:t>chocka</w:t>
      </w:r>
      <w:proofErr w:type="spellEnd"/>
      <w:r>
        <w:rPr>
          <w:sz w:val="16"/>
          <w:szCs w:val="16"/>
        </w:rPr>
        <w:t xml:space="preserve">, R. </w:t>
      </w:r>
      <w:proofErr w:type="spellStart"/>
      <w:r>
        <w:rPr>
          <w:sz w:val="16"/>
          <w:szCs w:val="16"/>
        </w:rPr>
        <w:t>Eidelson</w:t>
      </w:r>
      <w:proofErr w:type="spellEnd"/>
      <w:r>
        <w:rPr>
          <w:sz w:val="16"/>
          <w:szCs w:val="16"/>
        </w:rPr>
        <w:t xml:space="preserve">, N. </w:t>
      </w:r>
      <w:proofErr w:type="spellStart"/>
      <w:r>
        <w:rPr>
          <w:sz w:val="16"/>
          <w:szCs w:val="16"/>
        </w:rPr>
        <w:t>Jayawickreme</w:t>
      </w:r>
      <w:proofErr w:type="spellEnd"/>
      <w:r>
        <w:rPr>
          <w:sz w:val="16"/>
          <w:szCs w:val="16"/>
        </w:rPr>
        <w:t xml:space="preserve"> (2009). Collective narcissism and its</w:t>
      </w:r>
    </w:p>
    <w:p w14:paraId="2DFC2E22" w14:textId="77777777" w:rsidR="001B10C3" w:rsidRDefault="0012464F">
      <w:pPr>
        <w:jc w:val="both"/>
        <w:rPr>
          <w:sz w:val="16"/>
          <w:szCs w:val="16"/>
        </w:rPr>
      </w:pPr>
      <w:r>
        <w:rPr>
          <w:sz w:val="16"/>
          <w:szCs w:val="16"/>
        </w:rPr>
        <w:t>social consequences, „Journal of Personality and Social Psychology”, 97(6), s. 1074, https://doi.org/10.1037/a0016904.</w:t>
      </w:r>
    </w:p>
  </w:footnote>
  <w:footnote w:id="7">
    <w:p w14:paraId="3E82AB43" w14:textId="77777777" w:rsidR="001B10C3" w:rsidRPr="000E50BB" w:rsidRDefault="0012464F">
      <w:pPr>
        <w:jc w:val="both"/>
        <w:rPr>
          <w:sz w:val="16"/>
          <w:szCs w:val="16"/>
          <w:lang w:val="pl-PL"/>
        </w:rPr>
      </w:pPr>
      <w:r>
        <w:rPr>
          <w:vertAlign w:val="superscript"/>
        </w:rPr>
        <w:footnoteRef/>
      </w:r>
      <w:r w:rsidRPr="000E50BB">
        <w:rPr>
          <w:sz w:val="16"/>
          <w:szCs w:val="16"/>
          <w:lang w:val="pl-PL"/>
        </w:rPr>
        <w:t xml:space="preserve"> </w:t>
      </w:r>
      <w:r w:rsidRPr="000E50BB">
        <w:rPr>
          <w:sz w:val="16"/>
          <w:szCs w:val="16"/>
          <w:lang w:val="pl-PL"/>
        </w:rPr>
        <w:t>Przeprowadzono regresję liniową, w której predyktorem były identyfikacja narodowa, narcyzm narodowy, płeć oraz wiek natomiast zmienną zależną było przekonanie o poradzeniu sobie w przypadku wybuchu wojny. Model okazał się dobrze dopasowany do danych (F(4,</w:t>
      </w:r>
      <w:r w:rsidRPr="000E50BB">
        <w:rPr>
          <w:sz w:val="16"/>
          <w:szCs w:val="16"/>
          <w:lang w:val="pl-PL"/>
        </w:rPr>
        <w:t xml:space="preserve"> 1024) = 10,09; p &lt; 0,001; R2adj. = 0,03). Związek pomiędzy narcyzmem narodowym a przekonaniem o poradzeniu sobie i związek pomiędzy identyfikacją narodową a przekonaniem o poradzeniu sobie okazały się nieistotne statystycznie.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21A657" w14:textId="77777777" w:rsidR="001B10C3" w:rsidRDefault="0012464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20B4AF0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4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4E77DB" w14:textId="77777777" w:rsidR="001B10C3" w:rsidRDefault="0012464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4EACA039" wp14:editId="4F8B996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14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AF8093" w14:textId="77777777" w:rsidR="001B10C3" w:rsidRDefault="0012464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3911229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4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B10C3"/>
    <w:rsid w:val="000E50BB"/>
    <w:rsid w:val="0012464F"/>
    <w:rsid w:val="001B10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57518B8"/>
  <w15:docId w15:val="{11D97411-65B5-4211-8A2A-F9E2CB0CDE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wps.pl/nauka-i-badania/poznaj-nasz-potencjal/centra-badawcze/874-instytuty-naukowe/instytut-psychologii/centra-i-laboratoria/21114-centrum-badan-nad-relacjami-spolecznymi" TargetMode="External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https://swps.pl/images/DOKUMENTY/Raporty/Raport-CBRS-Polacy-i-Polki-w-obliczu-wojny.pdf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swps.pl/images/DOKUMENTY/Raporty/Raport-CBRS-Polacy-i-Polki-w-obliczu-wojny.pdf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fmXRS2Qom88wrj/RvwbQKdBm7nQ==">CgMxLjAi1AEKC0FBQUJ4QUQ2U3AwEp4BCgtBQUFCeEFENlNwMBILQUFBQnhBRDZTcDAaDQoJdGV4dC9odG1sEgAiDgoKdGV4dC9wbGFpbhIAKhsiFTEwNDQyMzE3MDMxMjg4NzgyNzU2MygAOAAwxbCs1K4zOMWwrNSuM1oMYnlnOHE5MTMxbnBtcgIgAHgAggEUc3VnZ2VzdC54c2hqOGdodTJzaTWaAQYIABAAGACwAQC4AQAYxbCs1K4zIMWwrNSuMzAAQhRzdWdnZXN0LnhzaGo4Z2h1MnNpNSLUAQoLQUFBQnhBRDZTcDgSngEKC0FBQUJ4QUQ2U3A4EgtBQUFCeEFENlNwOBoNCgl0ZXh0L2h0bWwSACIOCgp0ZXh0L3BsYWluEgAqGyIVMTA0NDIzMTcwMzEyODg3ODI3NTYzKAA4ADDT56zUrjM40+es1K4zWgw1MDdtajh2d3RweXZyAiAAeACCARRzdWdnZXN0LnUxZGt3dnlhbGpxYZoBBggAEAAYALABALgBABjT56zUrjMg0+es1K4zMABCFHN1Z2dlc3QudTFka3d2eWFsanFhItQBCgtBQUFCeEFENlNxQRKeAQoLQUFBQnhBRDZTcUESC0FBQUJ4QUQ2U3FBGg0KCXRleHQvaHRtbBIAIg4KCnRleHQvcGxhaW4SACobIhUxMDQ0MjMxNzAzMTI4ODc4Mjc1NjMoADgAMKilrdSuMziopa3UrjNaDHlhbzc0NHdwcjlzanICIAB4AIIBFHN1Z2dlc3QudzhvZXZwb2I5bTI5mgEGCAAQABgAsAEAuAEAGKilrdSuMyCopa3UrjMwAEIUc3VnZ2VzdC53OG9ldnBvYjltMjk4AGonChRzdWdnZXN0LnhzaGo4Z2h1MnNpNRIPRG9taW5pa2EgQnVsc2thaiYKFHN1Z2dlc3QueWh3ZG1mMmttb3Q4Eg5NYWx3aW5hIEJ1c3prb2omChRzdWdnZXN0Ljc5d3E0YmkyeDF6NBIOTWFsd2luYSBCdXN6a29qJwoUc3VnZ2VzdC51MWRrd3Z5YWxqcWESD0RvbWluaWthIEJ1bHNrYWomChRzdWdnZXN0LnltZmhyY2F6aGFiahIOTWFsd2luYSBCdXN6a29qJwoUc3VnZ2VzdC53OG9ldnBvYjltMjkSD0RvbWluaWthIEJ1bHNrYWomChRzdWdnZXN0Lm50bndkdDhmaWI1dhIOTWFsd2luYSBCdXN6a29qJgoUc3VnZ2VzdC41ZHlxNzVvc2pzaWQSDk1hbHdpbmEgQnVzemtvciExMUJJd1k0MTlTcnk4ZXhxTEtZaTR2WVJ5UkVvQmZkQj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1149</Words>
  <Characters>6900</Characters>
  <Application>Microsoft Office Word</Application>
  <DocSecurity>0</DocSecurity>
  <Lines>57</Lines>
  <Paragraphs>16</Paragraphs>
  <ScaleCrop>false</ScaleCrop>
  <Company/>
  <LinksUpToDate>false</LinksUpToDate>
  <CharactersWithSpaces>8033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Beata Szauer</cp:lastModifiedBy>
  <cp:revision>2</cp:revision>
  <dcterms:created xsi:type="dcterms:W3CDTF">2025-12-09T08:01:00Z</dcterms:created>
  <dcterms:modified xsi:type="dcterms:W3CDTF">2025-12-09T08:02:00Z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